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46.png" ContentType="image/png"/>
  <Override PartName="/word/media/rId52.pdf" ContentType="application/pdf"/>
  <Override PartName="/word/media/rId57.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While such spatial heterogeneity was often treated as an environmental nuisance in quantitative genetics, underlying biotic factors and loci gain remain unexplored.</w:t>
      </w:r>
      <w:r>
        <w:t xml:space="preserve"> </w:t>
      </w:r>
      <w:r>
        <w:t xml:space="preserve">To quantify disease spatial variation and associate it with neighbor genotypes, we applied applied two methods, Spatial Analysis of Field Trials with Splines (SpATS) and Neighbor Genome-Wide Association Study (Neighbor GWAS), to barley cultivars.</w:t>
      </w:r>
      <w:r>
        <w:t xml:space="preserve"> </w:t>
      </w:r>
      <w:r>
        <w:t xml:space="preserve">Having compiled the CIMMYT Australia ICARDA Germplasm Evaluation (CAIGE) data, we first applied SpATS to damages by three diseases such as the net form net blotch, spot form net blotch, and scald.</w:t>
      </w:r>
      <w:r>
        <w:t xml:space="preserve"> </w:t>
      </w:r>
      <w:r>
        <w:t xml:space="preserve">This SpATS analysis showed extraneous phenotypic variation unexplained by spatial autocorrelation, thereby leading us to conduct further variance component analysis and GWAS.</w:t>
      </w:r>
      <w:r>
        <w:t xml:space="preserve"> </w:t>
      </w:r>
      <w:r>
        <w:t xml:space="preserve">We then applied the Neighbor GWAS model to further variance component analysis and found that 10-30% variation of the three disease phenotypes was significantly explained by neighbor genotypic identity.</w:t>
      </w:r>
      <w:r>
        <w:t xml:space="preserve"> </w:t>
      </w:r>
      <w:r>
        <w:t xml:space="preserve">The Neighbor GWAS method also detected a relatively rare but significant variant that was located on the barley 7H chromosome and associated with neighbor genotypic influence on the net form net blotch.</w:t>
      </w:r>
      <w:r>
        <w:t xml:space="preserve"> </w:t>
      </w:r>
      <w:r>
        <w:t xml:space="preserve">This significant variant was estimated to have a positive effect of the allelic similarity on the disease damage, indicating an adversarial influence of its allelic mixture on the spread of net form net blotch.</w:t>
      </w:r>
      <w:r>
        <w:t xml:space="preserve"> </w:t>
      </w:r>
      <w:r>
        <w:t xml:space="preserve">These findings suggest that neighbor genotype identity is a key to account for spatial heterogeneity and reduce pest damage by variety mixture in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biotic factors that can shape spatial heterogeneity of pest damage</w:t>
      </w:r>
      <w:r>
        <w:t xml:space="preserve"> </w:t>
      </w:r>
      <w:r>
        <w:t xml:space="preserve">(Costa e Silva</w:t>
      </w:r>
      <w:r>
        <w:t xml:space="preserve"> </w:t>
      </w:r>
      <w:r>
        <w:rPr>
          <w:iCs/>
          <w:i/>
        </w:rPr>
        <w:t xml:space="preserve">et al.</w:t>
      </w:r>
      <w:r>
        <w:t xml:space="preserve"> </w:t>
      </w:r>
      <w:r>
        <w:t xml:space="preserve">2017; Dahlin</w:t>
      </w:r>
      <w:r>
        <w:t xml:space="preserve"> </w:t>
      </w:r>
      <w:r>
        <w:rPr>
          <w:iCs/>
          <w:i/>
        </w:rPr>
        <w:t xml:space="preserve">et al.</w:t>
      </w:r>
      <w:r>
        <w:t xml:space="preserve"> </w:t>
      </w:r>
      <w:r>
        <w:t xml:space="preserve">2018; Tamura</w:t>
      </w:r>
      <w:r>
        <w:t xml:space="preserve"> </w:t>
      </w:r>
      <w:r>
        <w:rPr>
          <w:iCs/>
          <w:i/>
        </w:rPr>
        <w:t xml:space="preserve">et al.</w:t>
      </w:r>
      <w:r>
        <w:t xml:space="preserve"> </w:t>
      </w:r>
      <w:r>
        <w:t xml:space="preserve">2020; Pélissier</w:t>
      </w:r>
      <w:r>
        <w:t xml:space="preserve"> </w:t>
      </w:r>
      <w:r>
        <w:rPr>
          <w:iCs/>
          <w:i/>
        </w:rPr>
        <w:t xml:space="preserve">et al.</w:t>
      </w:r>
      <w:r>
        <w:t xml:space="preserve"> </w:t>
      </w:r>
      <w:r>
        <w:t xml:space="preserve">2023)</w:t>
      </w:r>
      <w:r>
        <w:t xml:space="preserve">. In a close proximity, plant-plant interactions are driven by volatile communications among genotypes, allowing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w:t>
      </w:r>
      <w:r>
        <w:t xml:space="preserve"> </w:t>
      </w:r>
      <w:r>
        <w:t xml:space="preserve">(Tamura</w:t>
      </w:r>
      <w:r>
        <w:t xml:space="preserve"> </w:t>
      </w:r>
      <w:r>
        <w:rPr>
          <w:iCs/>
          <w:i/>
        </w:rPr>
        <w:t xml:space="preserve">et al.</w:t>
      </w:r>
      <w:r>
        <w:t xml:space="preserve"> </w:t>
      </w:r>
      <w:r>
        <w:t xml:space="preserve">2020)</w:t>
      </w:r>
      <w:r>
        <w:t xml:space="preserve"> </w:t>
      </w:r>
      <w:r>
        <w:t xml:space="preserve">or susceptible genotypes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 Sato and Wuest 2024)</w:t>
      </w:r>
      <w:r>
        <w:t xml:space="preserve">.</w:t>
      </w:r>
    </w:p>
    <w:p>
      <w:pPr>
        <w:pStyle w:val="BodyText"/>
      </w:pPr>
      <w:r>
        <w:t xml:space="preserve">Barley (</w:t>
      </w:r>
      <w:r>
        <w:rPr>
          <w:iCs/>
          <w:i/>
        </w:rPr>
        <w:t xml:space="preserve">Hordeum vulgare</w:t>
      </w:r>
      <w:r>
        <w:t xml:space="preserve">) is an important cereal crop and infected by various fungal pathogens worldwide. For example,</w:t>
      </w:r>
      <w:r>
        <w:t xml:space="preserve"> </w:t>
      </w:r>
      <w:r>
        <w:rPr>
          <w:iCs/>
          <w:i/>
        </w:rPr>
        <w:t xml:space="preserve">Pyrenophora teres</w:t>
      </w:r>
      <w:r>
        <w:t xml:space="preserve"> </w:t>
      </w:r>
      <w:r>
        <w:t xml:space="preserve">is a causal agent of net blotch symptom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form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 splash conidia by wind, and can trigger secondary infection to another plant during the growing season of barley</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w:t>
      </w:r>
      <w:r>
        <w:t xml:space="preserve">. Inspired by the Ising model of magnetics, the Neighbor GWAS method expands a standard mixed model to incorporate locus-wise interactions among neighboring genotypes. Owing to its locus-wise modelling, the Neighbor GWAS method can be applied to any randomized cultivation of multiple varieties. As such a randomized spatial arrangement has often been adopted in GWAS experiments</w:t>
      </w:r>
      <w:r>
        <w:t xml:space="preserve"> </w:t>
      </w:r>
      <w:r>
        <w:t xml:space="preserve">(e.g., Exposito-Alonso</w:t>
      </w:r>
      <w:r>
        <w:t xml:space="preserve"> </w:t>
      </w:r>
      <w:r>
        <w:rPr>
          <w:iCs/>
          <w:i/>
        </w:rPr>
        <w:t xml:space="preserve">et al.</w:t>
      </w:r>
      <w:r>
        <w:t xml:space="preserve"> </w:t>
      </w:r>
      <w:r>
        <w:t xml:space="preserve">2017; McFarland</w:t>
      </w:r>
      <w:r>
        <w:t xml:space="preserve"> </w:t>
      </w:r>
      <w:r>
        <w:rPr>
          <w:iCs/>
          <w:i/>
        </w:rPr>
        <w:t xml:space="preserve">et al.</w:t>
      </w:r>
      <w:r>
        <w:t xml:space="preserve"> </w:t>
      </w:r>
      <w:r>
        <w:t xml:space="preserve">2020; Jung</w:t>
      </w:r>
      <w:r>
        <w:t xml:space="preserve"> </w:t>
      </w:r>
      <w:r>
        <w:rPr>
          <w:iCs/>
          <w:i/>
        </w:rPr>
        <w:t xml:space="preserve">et al.</w:t>
      </w:r>
      <w:r>
        <w:t xml:space="preserve"> </w:t>
      </w:r>
      <w:r>
        <w:t xml:space="preserve">2022; Flutre</w:t>
      </w:r>
      <w:r>
        <w:t xml:space="preserve"> </w:t>
      </w:r>
      <w:r>
        <w:rPr>
          <w:iCs/>
          <w:i/>
        </w:rPr>
        <w:t xml:space="preserve">et al.</w:t>
      </w:r>
      <w:r>
        <w:t xml:space="preserve"> </w:t>
      </w:r>
      <w:r>
        <w:t xml:space="preserve">2022)</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CIMMYT Australia ICARDA Germplasm Evaluation (CAIGE) project.</w:t>
      </w:r>
    </w:p>
    <w:bookmarkEnd w:id="22"/>
    <w:bookmarkStart w:id="35"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rPr>
          <w:bCs/>
          <w:b/>
        </w:rPr>
        <w:t xml:space="preserve">The SpATS method estimates the proportion of the phenotypic variation directed to spatial correlation by exhibiting the spatial dependency of the observations according to their closeness in the field. SpATS models the spatial effects using P-splines along and calculates the amount of phenotypic variation owing to spatial processes. This can also model intricate spatial structures by using smoothing splines for equal row and column displacements. SpATS also quantified broad-sense heritability described by plant’s own genotypic effects.</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We set</w:t>
      </w:r>
      <w:r>
        <w:t xml:space="preserve"> </w:t>
      </w:r>
      <w:r>
        <w:t xml:space="preserve">“</w:t>
      </w:r>
      <w:r>
        <w:t xml:space="preserve">ANOVA = TRUE</w:t>
      </w:r>
      <w:r>
        <w:t xml:space="preserve">”</w:t>
      </w:r>
      <w:r>
        <w:t xml:space="preserve"> </w:t>
      </w:r>
      <w:r>
        <w:t xml:space="preserve">within the SAP function of the SpATS package to enable variance components to be quantified among the random effects of genotypes and spatial positions</w:t>
      </w:r>
      <w:r>
        <w:t xml:space="preserve"> </w:t>
      </w:r>
      <w:r>
        <w:t xml:space="preserve">(Rodríguez-Álvarez</w:t>
      </w:r>
      <w:r>
        <w:t xml:space="preserve"> </w:t>
      </w:r>
      <w:r>
        <w:rPr>
          <w:iCs/>
          <w:i/>
        </w:rPr>
        <w:t xml:space="preserve">et al.</w:t>
      </w:r>
      <w:r>
        <w:t xml:space="preserve"> </w:t>
      </w:r>
      <w:r>
        <w:t xml:space="preserve">2015)</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column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Start w:id="34" w:name="data-availability"/>
    <w:p>
      <w:pPr>
        <w:pStyle w:val="Heading2"/>
      </w:pPr>
      <w:r>
        <w:t xml:space="preserve">Data availability</w:t>
      </w:r>
    </w:p>
    <w:p>
      <w:pPr>
        <w:pStyle w:val="FirstParagraph"/>
      </w:pPr>
      <w:r>
        <w:t xml:space="preserve">All the source code and input data are available at GitHub (</w:t>
      </w:r>
      <w:hyperlink r:id="rId32">
        <w:r>
          <w:rPr>
            <w:rStyle w:val="Hyperlink"/>
          </w:rPr>
          <w:t xml:space="preserve">https://github.com/yassato/caige_barley</w:t>
        </w:r>
      </w:hyperlink>
      <w:r>
        <w:t xml:space="preserve">).</w:t>
      </w:r>
      <w:r>
        <w:t xml:space="preserve"> </w:t>
      </w:r>
      <w:r>
        <w:t xml:space="preserve">Supplementary Figure S1 presents GWAS QQ plots.</w:t>
      </w:r>
      <w:r>
        <w:t xml:space="preserve"> </w:t>
      </w:r>
      <w:r>
        <w:t xml:space="preserve">Supplementary Table S1 shows the list of exact URLs for the original input data.</w:t>
      </w:r>
      <w:r>
        <w:t xml:space="preserve"> </w:t>
      </w:r>
      <w:r>
        <w:t xml:space="preserve">Supplementary Table S2 and S3 include the exact</w:t>
      </w:r>
      <w:r>
        <w:t xml:space="preserve"> </w:t>
      </w:r>
      <m:oMath>
        <m:r>
          <m:t>p</m:t>
        </m:r>
      </m:oMath>
      <w:r>
        <w:t xml:space="preserve">-values for the likelihood ratio tests shown in Figure 2.</w:t>
      </w:r>
      <w:r>
        <w:t xml:space="preserve"> </w:t>
      </w:r>
      <w:r>
        <w:t xml:space="preserve">All the supplementary figures and tables are available through Figshare at</w:t>
      </w:r>
      <w:r>
        <w:t xml:space="preserve"> </w:t>
      </w:r>
      <w:hyperlink r:id="rId33">
        <w:r>
          <w:rPr>
            <w:rStyle w:val="Hyperlink"/>
          </w:rPr>
          <w:t xml:space="preserve">https://doi.org/xxxxxx</w:t>
        </w:r>
      </w:hyperlink>
      <w:r>
        <w:t xml:space="preserve">.</w:t>
      </w:r>
    </w:p>
    <w:bookmarkEnd w:id="34"/>
    <w:bookmarkEnd w:id="35"/>
    <w:bookmarkStart w:id="39" w:name="results"/>
    <w:p>
      <w:pPr>
        <w:pStyle w:val="Heading1"/>
      </w:pPr>
      <w:r>
        <w:t xml:space="preserve">Results</w:t>
      </w:r>
    </w:p>
    <w:bookmarkStart w:id="36"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w:t>
      </w:r>
      <w:r>
        <w:t xml:space="preserve"> </w:t>
      </w:r>
      <w:r>
        <w:t xml:space="preserve">The broad-sense heritability</w:t>
      </w:r>
      <w:r>
        <w:t xml:space="preserve"> </w:t>
      </w:r>
      <m:oMath>
        <m:sSup>
          <m:e>
            <m:r>
              <m:t>H</m:t>
            </m:r>
          </m:e>
          <m:sup>
            <m:r>
              <m:t>2</m:t>
            </m:r>
          </m:sup>
        </m:sSup>
      </m:oMath>
      <w:r>
        <w:t xml:space="preserve"> </w:t>
      </w:r>
      <w:r>
        <w:t xml:space="preserve">was 0.78 for the net form net blotch; 0.68 for spot form net blotch; and 0.65 for scald, indicating that the moderate to high variation could be explained by plants’ own genotypes.</w:t>
      </w:r>
      <w:r>
        <w:t xml:space="preserve"> </w:t>
      </w:r>
      <w:r>
        <w:t xml:space="preserve">Besides these genetic variations, there was spatial variation along the rows and columns of field plots (Table SX).</w:t>
      </w:r>
      <w:r>
        <w:t xml:space="preserve"> </w:t>
      </w:r>
      <w:r>
        <w:t xml:space="preserve">Furthermore, spatial variograms display extraneous variation in unexplained residuals along the rows and columns, in which the spatial curves presented the wavy pattern for each disease (Fig. 1).</w:t>
      </w:r>
      <w:r>
        <w:t xml:space="preserve"> </w:t>
      </w:r>
      <w:r>
        <w:t xml:space="preserve">These results showed that the substantial spatial heterogeneity of disease infection was unexplained by plants’ own genotypes and smooth spatial trends, leaving a room to be explained by the other factors such as neighboring genotypes.</w:t>
      </w:r>
    </w:p>
    <w:bookmarkEnd w:id="36"/>
    <w:bookmarkStart w:id="37"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w:t>
      </w:r>
      <w:r>
        <w:t xml:space="preserve"> </w:t>
      </w:r>
      <w:r>
        <w:t xml:space="preserve">All the three phenotypes of disease infection exhibited &gt;20% SNP heritability</w:t>
      </w:r>
      <w:r>
        <w:t xml:space="preserve"> </w:t>
      </w:r>
      <m:oMath>
        <m:sSubSup>
          <m:e>
            <m:r>
              <m:t>h</m:t>
            </m:r>
          </m:e>
          <m:sub>
            <m:r>
              <m:rPr>
                <m:nor/>
                <m:sty m:val="p"/>
              </m:rPr>
              <m:t>SNP</m:t>
            </m:r>
          </m:sub>
          <m:sup>
            <m:r>
              <m:t>2</m:t>
            </m:r>
          </m:sup>
        </m:sSubSup>
      </m:oMath>
      <w:r>
        <w:t xml:space="preserve"> </w:t>
      </w:r>
      <w:r>
        <w:t xml:space="preserve">regarding plant’s own genotypic effects (blue bars in Fig. 2A-C).</w:t>
      </w:r>
      <w:r>
        <w:t xml:space="preserve"> </w:t>
      </w:r>
      <w:r>
        <w:t xml:space="preserve">Specifically, the net form net blotch showed x% heritability at the 5% significance level (</w:t>
      </w:r>
      <m:oMath>
        <m:sSubSup>
          <m:e>
            <m:r>
              <m:t>h</m:t>
            </m:r>
          </m:e>
          <m:sub>
            <m:r>
              <m:rPr>
                <m:nor/>
                <m:sty m:val="p"/>
              </m:rPr>
              <m:t>SNP</m:t>
            </m:r>
          </m:sub>
          <m:sup>
            <m:r>
              <m:t>2</m:t>
            </m:r>
          </m:sup>
        </m:sSubSup>
      </m:oMath>
      <w:r>
        <w:t xml:space="preserve"> </w:t>
      </w:r>
      <w:r>
        <w:t xml:space="preserve">= x,</w:t>
      </w:r>
      <w:r>
        <w:t xml:space="preserve"> </w:t>
      </w:r>
      <m:oMath>
        <m:sSubSup>
          <m:e>
            <m:r>
              <m:t>χ</m:t>
            </m:r>
          </m:e>
          <m:sub>
            <m:r>
              <m:t>1</m:t>
            </m:r>
          </m:sub>
          <m:sup>
            <m:r>
              <m:t>2</m:t>
            </m:r>
          </m:sup>
        </m:sSubSup>
        <m:r>
          <m:rPr>
            <m:sty m:val="p"/>
          </m:rPr>
          <m:t>=</m:t>
        </m:r>
        <m:r>
          <m:t>x</m:t>
        </m:r>
      </m:oMath>
      <w:r>
        <w:t xml:space="preserve">,</w:t>
      </w:r>
      <w:r>
        <w:t xml:space="preserve"> </w:t>
      </w:r>
      <m:oMath>
        <m:r>
          <m:t>p</m:t>
        </m:r>
        <m:r>
          <m:rPr>
            <m:sty m:val="p"/>
          </m:rPr>
          <m:t>&lt;</m:t>
        </m:r>
        <m:r>
          <m:t>0.05</m:t>
        </m:r>
      </m:oMath>
      <w:r>
        <w:t xml:space="preserve">: see Table S2 for exact test-statistics and</w:t>
      </w:r>
      <w:r>
        <w:t xml:space="preserve"> </w:t>
      </w:r>
      <m:oMath>
        <m:r>
          <m:t>p</m:t>
        </m:r>
      </m:oMath>
      <w:r>
        <w:t xml:space="preserve">-values).</w:t>
      </w:r>
      <w:r>
        <w:t xml:space="preserve"> </w:t>
      </w:r>
      <w:r>
        <w:t xml:space="preserve">The spot form net blotch showed y% heritability but at the marginally significance level (</w:t>
      </w:r>
      <m:oMath>
        <m:sSubSup>
          <m:e>
            <m:r>
              <m:t>χ</m:t>
            </m:r>
          </m:e>
          <m:sub>
            <m:r>
              <m:t>1</m:t>
            </m:r>
          </m:sub>
          <m:sup>
            <m:r>
              <m:t>2</m:t>
            </m:r>
          </m:sup>
        </m:sSubSup>
      </m:oMath>
      <w:r>
        <w:t xml:space="preserve"> </w:t>
      </w:r>
      <w:r>
        <w:t xml:space="preserve">&gt; xx,</w:t>
      </w:r>
      <w:r>
        <w:t xml:space="preserve"> </w:t>
      </w:r>
      <m:oMath>
        <m:r>
          <m:t>p</m:t>
        </m:r>
      </m:oMath>
      <w:r>
        <w:t xml:space="preserve"> </w:t>
      </w:r>
      <w:r>
        <w:t xml:space="preserve">&lt; 0.1).</w:t>
      </w:r>
      <w:r>
        <w:t xml:space="preserve"> </w:t>
      </w:r>
      <w:r>
        <w:t xml:space="preserve">The scald showed z% heritability at the 5% significance level (</w:t>
      </w:r>
      <m:oMath>
        <m:sSubSup>
          <m:e>
            <m:r>
              <m:t>h</m:t>
            </m:r>
          </m:e>
          <m:sub>
            <m:r>
              <m:rPr>
                <m:nor/>
                <m:sty m:val="p"/>
              </m:rPr>
              <m:t>SNP</m:t>
            </m:r>
          </m:sub>
          <m:sup>
            <m:r>
              <m:t>2</m:t>
            </m:r>
          </m:sup>
        </m:sSubSup>
      </m:oMath>
      <w:r>
        <w:t xml:space="preserve"> </w:t>
      </w:r>
      <w:r>
        <w:t xml:space="preserve">= x,</w:t>
      </w:r>
      <w:r>
        <w:t xml:space="preserve"> </w:t>
      </w:r>
      <m:oMath>
        <m:sSubSup>
          <m:e>
            <m:r>
              <m:t>χ</m:t>
            </m:r>
          </m:e>
          <m:sub>
            <m:r>
              <m:t>1</m:t>
            </m:r>
          </m:sub>
          <m:sup>
            <m:r>
              <m:t>2</m:t>
            </m:r>
          </m:sup>
        </m:sSubSup>
        <m:r>
          <m:rPr>
            <m:sty m:val="p"/>
          </m:rPr>
          <m:t>=</m:t>
        </m:r>
        <m:r>
          <m:t>x</m:t>
        </m:r>
      </m:oMath>
      <w:r>
        <w:t xml:space="preserve">,</w:t>
      </w:r>
      <w:r>
        <w:t xml:space="preserve"> </w:t>
      </w:r>
      <m:oMath>
        <m:r>
          <m:t>p</m:t>
        </m:r>
        <m:r>
          <m:rPr>
            <m:sty m:val="p"/>
          </m:rPr>
          <m:t>&lt;</m:t>
        </m:r>
        <m:r>
          <m:t>0.05</m:t>
        </m:r>
      </m:oMath>
      <w:r>
        <w:t xml:space="preserve">).</w:t>
      </w:r>
      <w:r>
        <w:t xml:space="preserve"> </w:t>
      </w:r>
      <w:r>
        <w:t xml:space="preserve">These SNP-based metrics of narrow-sense heritability were lower than the broad-sense heritability described above, but previous metrics also reported lower heritability for narrow-sense than broad-sense metrics (cite).</w:t>
      </w:r>
      <w:r>
        <w:t xml:space="preserve"> </w:t>
      </w:r>
      <w:r>
        <w:t xml:space="preserve">These results confirmed that our SNP-based analysis was able to detect heritable variation in the three disease phenotypes.</w:t>
      </w:r>
    </w:p>
    <w:p>
      <w:pPr>
        <w:pStyle w:val="BodyText"/>
      </w:pPr>
      <w:r>
        <w:t xml:space="preserve">More remarkably, we found significant contributions of neighbor genotypes to all the three disease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For instance, the influence of neighbor genotypes on the net form net blotch was significant (</w:t>
      </w:r>
      <m:oMath>
        <m:r>
          <m:t>p</m:t>
        </m:r>
      </m:oMath>
      <w:r>
        <w:t xml:space="preserve">&lt;0.05) up to the second nearest neighbors and remained marginally significant (</w:t>
      </w:r>
      <m:oMath>
        <m:r>
          <m:t>p</m:t>
        </m:r>
      </m:oMath>
      <w:r>
        <w:t xml:space="preserve">&lt;0.1 and</w:t>
      </w:r>
      <w:r>
        <w:t xml:space="preserve"> </w:t>
      </w:r>
      <m:oMath>
        <m:r>
          <m:t>p</m:t>
        </m:r>
      </m:oMath>
      <w:r>
        <w:t xml:space="preserve">&gt;0.05) up to the fourth nearest neighbors (Fig. 3A and Table S2A).</w:t>
      </w:r>
      <w:r>
        <w:t xml:space="preserve"> </w:t>
      </w:r>
      <w:r>
        <w:t xml:space="preserve">The spot form net blotch was significantly influenced by the first and second nearest neighbors, though this influence became non-significant for the distant neighbors (Fig. 2B and Table S2B).</w:t>
      </w:r>
      <w:r>
        <w:t xml:space="preserve"> </w:t>
      </w:r>
      <w:r>
        <w:t xml:space="preserve">The scald damage showed the most significant patterns among the three disease phenotypes, such that the influence of neighboring genotypes remained significant across a space (Fig. 2C and Table S2C).</w:t>
      </w:r>
      <w:r>
        <w:t xml:space="preserve"> </w:t>
      </w:r>
      <w:r>
        <w:t xml:space="preserve">These significant contributions of neighbor genotypes to the three disease phenotypes explained 9 to 30% of total phenotypic variation (red bars in Fig. 2).</w:t>
      </w:r>
      <w:r>
        <w:t xml:space="preserve"> </w:t>
      </w:r>
      <w:r>
        <w:t xml:space="preserve">The similar patterns were found even when the cut-off value of MAF was changed to 0.05 (Table S3A-C).</w:t>
      </w:r>
      <w:r>
        <w:t xml:space="preserve"> </w:t>
      </w:r>
      <w:r>
        <w:t xml:space="preserve">These variance component analyses showed that a significant fraction of damage variation was attributable to neighbor genotypic identity, which led us to further ask whether major-effect SNPs underlay this damage variation.</w:t>
      </w:r>
    </w:p>
    <w:bookmarkEnd w:id="37"/>
    <w:bookmarkStart w:id="38"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 at the spatial scales from the first to forth nearest neighbors.</w:t>
      </w:r>
      <w:r>
        <w:t xml:space="preserve"> </w:t>
      </w:r>
      <w:r>
        <w:t xml:space="preserve">We detected two significant SNPs associated with neighbor genotypic effects at the spatial scale of the forth nearest neighbors (i.e., Euclidean distance = 4 from focal individuals).</w:t>
      </w:r>
      <w:r>
        <w:t xml:space="preserve"> </w:t>
      </w:r>
      <w:r>
        <w:t xml:space="preserve">One of these two significant SNPs was detected for the net form net blotch and another was for scald (Fig. 3B, C, D).</w:t>
      </w:r>
      <w:r>
        <w:t xml:space="preserve"> </w:t>
      </w:r>
      <w:r>
        <w:t xml:space="preserve">The significant SNP of neighbor genotypic effects on the net form net blotch was located on the tip of 7H chromosome (Chr7H at 610368438: Fig. 3B).</w:t>
      </w:r>
      <w:r>
        <w:t xml:space="preserve"> </w:t>
      </w:r>
      <w:r>
        <w:t xml:space="preserve">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w:t>
      </w:r>
      <w:r>
        <w:t xml:space="preserve"> </w:t>
      </w:r>
      <w:r>
        <w:t xml:space="preserve">Another significant SNP detected for scald was assigned as an un-anchored chromosome (Fig. 3F): thus, its QTL position remains unknown.</w:t>
      </w:r>
      <w:r>
        <w:t xml:space="preserve"> </w:t>
      </w:r>
      <w:r>
        <w:t xml:space="preserve">In addition to the two significant SNPs, a marginally significant SNP for the scald damage was found on the 7H chromosome (chr7H at 581517810: Fig. 3F).</w:t>
      </w:r>
      <w:r>
        <w:t xml:space="preserve"> </w:t>
      </w:r>
      <w:r>
        <w:t xml:space="preserve">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Bonferroni-corrected</w:t>
      </w:r>
      <w:r>
        <w:t xml:space="preserve"> </w:t>
      </w:r>
      <m:oMath>
        <m:r>
          <m:t>p</m:t>
        </m:r>
      </m:oMath>
      <w:r>
        <w:t xml:space="preserve">-value = 0.086) and thus indicated positive allelic interactions at this locus to prevent the disease spread among neighboring plots.</w:t>
      </w:r>
      <w:r>
        <w:t xml:space="preserve"> </w:t>
      </w:r>
      <w:r>
        <w:t xml:space="preserve">These findings suggest the potential existence of QTLs responsible for positive genotype-genotype interactions that mitigate disease spreads.</w:t>
      </w:r>
    </w:p>
    <w:p>
      <w:pPr>
        <w:pStyle w:val="BodyText"/>
      </w:pPr>
      <w:r>
        <w:t xml:space="preserve">To examine whether neighbor genotypic effects shared the same QTLs with plant’s own genotypic effects, we also conducted standard GWAS and compared it with Neighbor GWAS.</w:t>
      </w:r>
      <w:r>
        <w:t xml:space="preserve"> </w:t>
      </w:r>
      <w:r>
        <w:t xml:space="preserve">This standard GWAS did not find any significant SNPs for the three diseases (</w:t>
      </w:r>
      <m:oMath>
        <m:r>
          <m:t>p</m:t>
        </m:r>
      </m:oMath>
      <w:r>
        <w:t xml:space="preserve"> </w:t>
      </w:r>
      <w:r>
        <w:t xml:space="preserve">&gt; 0.1 after Bonferroni correction) but found suggestive peaks.</w:t>
      </w:r>
      <w:r>
        <w:t xml:space="preserve"> </w:t>
      </w:r>
      <w:r>
        <w:rPr>
          <w:iCs/>
          <w:i/>
        </w:rPr>
        <w:t xml:space="preserve">Such weak peaks were found for the damage by the net form and spot form net blotch and located on x chromosomes. (Fig. 3A and C)</w:t>
      </w:r>
      <w:r>
        <w:t xml:space="preserve">.</w:t>
      </w:r>
      <w:r>
        <w:t xml:space="preserve"> </w:t>
      </w:r>
      <w:r>
        <w:t xml:space="preserve">Combined with the Neighbor GWAS results, these findings suggest that plant’ own and neighbor genotypic effects on disease infection may have different genetic bases.</w:t>
      </w:r>
    </w:p>
    <w:bookmarkEnd w:id="38"/>
    <w:bookmarkEnd w:id="39"/>
    <w:bookmarkStart w:id="43" w:name="discussion"/>
    <w:p>
      <w:pPr>
        <w:pStyle w:val="Heading1"/>
      </w:pPr>
      <w:r>
        <w:t xml:space="preserve">Discussion</w:t>
      </w:r>
    </w:p>
    <w:p>
      <w:pPr>
        <w:pStyle w:val="FirstParagraph"/>
      </w:pPr>
      <w:r>
        <w:t xml:space="preserve">Our quantitative genetic analyses revealed that substantial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While these previous studies also quantified the phenotypic variation attributable to neighboring genotypes, few have identified genetic variants associated with those effects.</w:t>
      </w:r>
      <w:r>
        <w:t xml:space="preserve"> </w:t>
      </w:r>
      <w:r>
        <w:t xml:space="preserve">In this context, our Neighbor GWAS analysis detected a significant SNP associated with neighbor genotypic effects on the net blotch damage.</w:t>
      </w:r>
      <w:r>
        <w:t xml:space="preserve"> </w:t>
      </w:r>
      <w:r>
        <w:t xml:space="preserve">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40"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On the tip of the chromosome 7H, we specifically found a significant SNP at 610368438 for the net form net blotch; and a marginally significant SNP at 581517810 for scald.</w:t>
      </w:r>
      <w:r>
        <w:t xml:space="preserve"> </w:t>
      </w:r>
      <w:r>
        <w:t xml:space="preserve">Within 30-kb near the 610368438 position, we did find the two loci HORVU.MOREX.r3.7HG0742860 and HORVU.MOREX.r3.7HG0742870 which encoded protein kinases.</w:t>
      </w:r>
      <w:r>
        <w:t xml:space="preserve"> </w:t>
      </w:r>
      <w:r>
        <w:t xml:space="preserve">Another SNP at 581517810 was located within 30 kb near the loci HORVU.MOREX.r3.7HG0731740, HORVU.MOREX.r3.7HG0731730, and HORVU.MOREX.r3.7HG0731700 which encoded a SCO1-like protein, lipid transfer protein, and transducin/WD40 repeat protein, respectively.</w:t>
      </w:r>
      <w:r>
        <w:t xml:space="preserve"> </w:t>
      </w:r>
      <w:r>
        <w:t xml:space="preserve">Among them, protein kinases and WD40 repeat proteins are known to involve barley resistance to abiotic and biotic stresses (</w:t>
      </w:r>
      <w:r>
        <w:rPr>
          <w:bCs/>
          <w:b/>
        </w:rPr>
        <w:t xml:space="preserve">cites</w:t>
      </w:r>
      <w:r>
        <w:t xml:space="preserve">).</w:t>
      </w:r>
      <w:r>
        <w:t xml:space="preserve"> </w:t>
      </w:r>
      <w:r>
        <w:t xml:space="preserve">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net blotch-related QTLs were reported for the tip of the chromosome 7H (Tamang et al. 2015; Richard et al. 2017; Novakazi et al. 2019; Clare et al. 2019) near 581517810 and 610368438 bp positions.</w:t>
      </w:r>
      <w:r>
        <w:t xml:space="preserve"> </w:t>
      </w:r>
      <w:r>
        <w:t xml:space="preserve">While our normal GWAS did not find any significant SNPs on previously reported QTLs, those overlapped QTLs suggest their dual roles in plants’ own and neighbor genotypic effects on disease resistance.</w:t>
      </w:r>
      <w:r>
        <w:t xml:space="preserve"> </w:t>
      </w:r>
      <w:r>
        <w:t xml:space="preserve">For example, Tamang et al. (2015) performed GWAS using 2062 barley accessions and identified a novel QTL associated with the damage by the New Zealand strain, NZKF2, of the spot form net blotch.</w:t>
      </w:r>
      <w:r>
        <w:t xml:space="preserve"> </w:t>
      </w:r>
      <w:r>
        <w:t xml:space="preserve">This QTL region ranged from 601275881 to 615403763 at the chromosome 7H (Tamang et al. 2015), including the SNP position of 610368438 for which we found long-range neighbor genotypic effects on the net form net blotch.</w:t>
      </w:r>
      <w:r>
        <w:t xml:space="preserve"> </w:t>
      </w:r>
      <w:r>
        <w:t xml:space="preserve">Another QTL reported by Tamang et al. (2015) ranged from 579216453 to 601275986 on the chromosome 7H, encompassing the marginally significant SNP at 581517810 for which we found long-range neighbor genotypic effects on the scald.</w:t>
      </w:r>
      <w:r>
        <w:t xml:space="preserve"> </w:t>
      </w:r>
      <w:r>
        <w:t xml:space="preserve">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since all the three fungal agents splash conidia by wind to cause secondary infection.</w:t>
      </w:r>
      <w:r>
        <w:t xml:space="preserve"> </w:t>
      </w:r>
      <w:r>
        <w:t xml:space="preserve">We found that the magnitude of neighbor genotypic effects differed among the three diseases, which may be attributed to two possibilities.</w:t>
      </w:r>
      <w:r>
        <w:t xml:space="preserve"> </w:t>
      </w:r>
      <w:r>
        <w:t xml:space="preserve">One possibility is because of data quantity.</w:t>
      </w:r>
      <w:r>
        <w:t xml:space="preserve"> </w:t>
      </w:r>
      <w:r>
        <w:t xml:space="preserve">The least significant phenotype, spot form net blotch, indeed had the sparsest data points (Fig. 1B); thus, the statistical power might be low for this phenotype.</w:t>
      </w:r>
      <w:r>
        <w:t xml:space="preserve"> </w:t>
      </w:r>
      <w:r>
        <w:t xml:space="preserve">For the other two phenotypes, another possibility concerns biological aspects of fungal life cycles and dispersal mode.</w:t>
      </w:r>
      <w:r>
        <w:t xml:space="preserve"> </w:t>
      </w:r>
      <w:r>
        <w:rPr>
          <w:iCs/>
          <w:i/>
        </w:rPr>
        <w:t xml:space="preserve">The influence of neighboring genotypes depends not only on plant genetics but also on pathogen life histories, with respect to generation time and dispersal mode. Discussions on the generation time and dispersal model of NFNB, SFNB, and Scald (based on Iqra’s literature survey) especially on temperature</w:t>
      </w:r>
      <w:r>
        <w:t xml:space="preserve"> </w:t>
      </w:r>
      <w:r>
        <w:t xml:space="preserve">These differences in fungal life history may differentiate the influence of neighboring genotypes on disease infection.</w:t>
      </w:r>
    </w:p>
    <w:bookmarkEnd w:id="40"/>
    <w:bookmarkStart w:id="41" w:name="Xee091c9180b577a7aea4637862886a888f19121"/>
    <w:p>
      <w:pPr>
        <w:pStyle w:val="Heading2"/>
      </w:pPr>
      <w:r>
        <w:t xml:space="preserve">Applicability and methodological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41"/>
    <w:bookmarkStart w:id="42"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For barley cultivars, we indeed detected a significant SNP that had positive effects of allelic mixture on damage, indicating a potential prevention of disease spread by allelic mixtures.</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42"/>
    <w:bookmarkEnd w:id="43"/>
    <w:bookmarkStart w:id="44" w:name="author-contributions"/>
    <w:p>
      <w:pPr>
        <w:pStyle w:val="Heading1"/>
      </w:pPr>
      <w:r>
        <w:t xml:space="preserve">Author contributions</w:t>
      </w:r>
    </w:p>
    <w:p>
      <w:pPr>
        <w:pStyle w:val="FirstParagraph"/>
      </w:pPr>
      <w:r>
        <w:t xml:space="preserve">IA: investigation, formal analysis, funding acquisition, writing; RSI: supervision, funding acquisition, writing; YS: methodology, investigation, data curation, formal analysis, supervision, funding acquisition, writing</w:t>
      </w:r>
    </w:p>
    <w:bookmarkEnd w:id="44"/>
    <w:bookmarkStart w:id="45"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 This study was supported by the Japan Science and Technology Agency (JST) FOREST program (grant no. JPMJFR233L to YS); Swiss National Science Foundation (SNSF) Spark program (CRSK-3_221418 to YS); and JST SPRING program (JPMJSP2119 to IA). The authors declare that there is no conflict of interest in this study.</w:t>
      </w:r>
    </w:p>
    <w:bookmarkEnd w:id="45"/>
    <w:bookmarkStart w:id="55" w:name="figures"/>
    <w:p>
      <w:pPr>
        <w:pStyle w:val="Heading1"/>
      </w:pPr>
      <w:r>
        <w:t xml:space="preserve">Figures</w:t>
      </w:r>
    </w:p>
    <w:p>
      <w:pPr>
        <w:pStyle w:val="CaptionedFigure"/>
      </w:pPr>
      <w:r>
        <w:drawing>
          <wp:inline>
            <wp:extent cx="5334000" cy="1436483"/>
            <wp:effectExtent b="0" l="0" r="0" t="0"/>
            <wp:docPr descr="Figure 1. SpATS for visualization of spatial heterogeneity- X-axis represents row displacement; Y-axis represents column displacement and Z-axis represents residual displacement of disease severity. The color gradient reflects disease severity/damage level where blue indicates low, green indicates moderate and yellow indicates high severity." title="" id="47" name="Picture"/>
            <a:graphic>
              <a:graphicData uri="http://schemas.openxmlformats.org/drawingml/2006/picture">
                <pic:pic>
                  <pic:nvPicPr>
                    <pic:cNvPr descr="../figures/SpATS_draft.png" id="48" name="Picture"/>
                    <pic:cNvPicPr>
                      <a:picLocks noChangeArrowheads="1" noChangeAspect="1"/>
                    </pic:cNvPicPr>
                  </pic:nvPicPr>
                  <pic:blipFill>
                    <a:blip r:embed="rId46"/>
                    <a:stretch>
                      <a:fillRect/>
                    </a:stretch>
                  </pic:blipFill>
                  <pic:spPr bwMode="auto">
                    <a:xfrm>
                      <a:off x="0" y="0"/>
                      <a:ext cx="5334000" cy="1436483"/>
                    </a:xfrm>
                    <a:prstGeom prst="rect">
                      <a:avLst/>
                    </a:prstGeom>
                    <a:noFill/>
                    <a:ln w="9525">
                      <a:noFill/>
                      <a:headEnd/>
                      <a:tailEnd/>
                    </a:ln>
                  </pic:spPr>
                </pic:pic>
              </a:graphicData>
            </a:graphic>
          </wp:inline>
        </w:drawing>
      </w:r>
    </w:p>
    <w:p>
      <w:pPr>
        <w:pStyle w:val="ImageCaption"/>
      </w:pPr>
      <w:r>
        <w:t xml:space="preserve">Figure 1. SpATS for visualization of spatial heterogeneity- X-axis represents row displacement; Y-axis represents column displacement and Z-axis represents residual displacement of disease severity. The color gradient reflects disease severity/damage level where blue indicates low, green indicates moderate and yellow indicates high severity.</w:t>
      </w:r>
    </w:p>
    <w:p>
      <w:pPr>
        <w:pStyle w:val="CaptionedFigure"/>
      </w:pPr>
      <w:r>
        <w:drawing>
          <wp:inline>
            <wp:extent cx="5334000" cy="1679222"/>
            <wp:effectExtent b="0" l="0" r="0" t="0"/>
            <wp:docPr descr="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50" name="Picture"/>
            <a:graphic>
              <a:graphicData uri="http://schemas.openxmlformats.org/drawingml/2006/picture">
                <pic:pic>
                  <pic:nvPicPr>
                    <pic:cNvPr descr="../figures/PVE_fig.pdf" id="51" name="Picture"/>
                    <pic:cNvPicPr>
                      <a:picLocks noChangeArrowheads="1" noChangeAspect="1"/>
                    </pic:cNvPicPr>
                  </pic:nvPicPr>
                  <pic:blipFill>
                    <a:blip r:embed="rId49"/>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53" name="Picture"/>
            <a:graphic>
              <a:graphicData uri="http://schemas.openxmlformats.org/drawingml/2006/picture">
                <pic:pic>
                  <pic:nvPicPr>
                    <pic:cNvPr descr="../figures/barleyMan.pdf" id="54" name="Picture"/>
                    <pic:cNvPicPr>
                      <a:picLocks noChangeArrowheads="1" noChangeAspect="1"/>
                    </pic:cNvPicPr>
                  </pic:nvPicPr>
                  <pic:blipFill>
                    <a:blip r:embed="rId52"/>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5"/>
    <w:bookmarkStart w:id="56"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6"/>
    <w:bookmarkStart w:id="65"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8" name="Picture"/>
            <a:graphic>
              <a:graphicData uri="http://schemas.openxmlformats.org/drawingml/2006/picture">
                <pic:pic>
                  <pic:nvPicPr>
                    <pic:cNvPr descr="../figures/barleyQQ.pdf" id="59" name="Picture"/>
                    <pic:cNvPicPr>
                      <a:picLocks noChangeArrowheads="1" noChangeAspect="1"/>
                    </pic:cNvPicPr>
                  </pic:nvPicPr>
                  <pic:blipFill>
                    <a:blip r:embed="rId57"/>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0">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1">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2">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3">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4">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3"/>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4"/>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5"/>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6"/>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p>
      <w:pPr>
        <w:numPr>
          <w:ilvl w:val="0"/>
          <w:numId w:val="1007"/>
        </w:numPr>
        <w:pStyle w:val="Compact"/>
      </w:pPr>
      <w:r>
        <w:t xml:space="preserve">Table S4. List of top-hit SNPs at each spatial scale</w:t>
      </w:r>
    </w:p>
    <w:bookmarkEnd w:id="65"/>
    <w:bookmarkStart w:id="141" w:name="references"/>
    <w:p>
      <w:pPr>
        <w:pStyle w:val="Heading1"/>
      </w:pPr>
      <w:r>
        <w:t xml:space="preserve">References</w:t>
      </w:r>
    </w:p>
    <w:bookmarkStart w:id="140" w:name="refs"/>
    <w:bookmarkStart w:id="67"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6">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7"/>
    <w:bookmarkStart w:id="69"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8">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9"/>
    <w:bookmarkStart w:id="71" w:name="ref-costa_e_silva_accounting_2013"/>
    <w:p>
      <w:pPr>
        <w:pStyle w:val="Bibliography"/>
      </w:pPr>
      <w:r>
        <w:t xml:space="preserve">Costa e Silva, J., and R. J. Kerr, 2013</w:t>
      </w:r>
      <w:r>
        <w:t xml:space="preserve"> </w:t>
      </w:r>
      <w:hyperlink r:id="rId70">
        <w:r>
          <w:rPr>
            <w:rStyle w:val="Hyperlink"/>
          </w:rPr>
          <w:t xml:space="preserve">Accounting for competition in genetic analysis, with particular emphasis on forest genetic trials</w:t>
        </w:r>
      </w:hyperlink>
      <w:r>
        <w:t xml:space="preserve">. Tree Genetics &amp; Genomes 9: 1–17.</w:t>
      </w:r>
    </w:p>
    <w:bookmarkEnd w:id="71"/>
    <w:bookmarkStart w:id="73" w:name="ref-costa_e_silva_genetic-based_2017"/>
    <w:p>
      <w:pPr>
        <w:pStyle w:val="Bibliography"/>
      </w:pPr>
      <w:r>
        <w:t xml:space="preserve">Costa e Silva, J., B. M. Potts, A. R. Gilmour, and R. J. Kerr, 2017</w:t>
      </w:r>
      <w:r>
        <w:t xml:space="preserve"> </w:t>
      </w:r>
      <w:hyperlink r:id="rId72">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3"/>
    <w:bookmarkStart w:id="75" w:name="ref-dahlin_pest_2018"/>
    <w:p>
      <w:pPr>
        <w:pStyle w:val="Bibliography"/>
      </w:pPr>
      <w:r>
        <w:t xml:space="preserve">Dahlin, I., D. Rubene, R. Glinwood, and V. Ninkovic, 2018</w:t>
      </w:r>
      <w:r>
        <w:t xml:space="preserve"> </w:t>
      </w:r>
      <w:hyperlink r:id="rId74">
        <w:r>
          <w:rPr>
            <w:rStyle w:val="Hyperlink"/>
          </w:rPr>
          <w:t xml:space="preserve">Pest suppression in cultivar mixtures is influenced by neighbor-specific plant-plant communication</w:t>
        </w:r>
      </w:hyperlink>
      <w:r>
        <w:t xml:space="preserve">. Ecological Applications 28: 2187–2196.</w:t>
      </w:r>
    </w:p>
    <w:bookmarkEnd w:id="75"/>
    <w:bookmarkStart w:id="77" w:name="ref-exposito-alonso_genomic_2017"/>
    <w:p>
      <w:pPr>
        <w:pStyle w:val="Bibliography"/>
      </w:pPr>
      <w:r>
        <w:t xml:space="preserve">Exposito-Alonso, M., F. Vasseur, W. Ding, G. Wang, H. A. Burbano</w:t>
      </w:r>
      <w:r>
        <w:t xml:space="preserve"> </w:t>
      </w:r>
      <w:r>
        <w:rPr>
          <w:iCs/>
          <w:i/>
        </w:rPr>
        <w:t xml:space="preserve">et al.</w:t>
      </w:r>
      <w:r>
        <w:t xml:space="preserve">, 2017</w:t>
      </w:r>
      <w:r>
        <w:t xml:space="preserve"> </w:t>
      </w:r>
      <w:hyperlink r:id="rId76">
        <w:r>
          <w:rPr>
            <w:rStyle w:val="Hyperlink"/>
          </w:rPr>
          <w:t xml:space="preserve">Genomic basis and evolutionary potential for extreme drought adaptation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2: 352–358.</w:t>
      </w:r>
    </w:p>
    <w:bookmarkEnd w:id="77"/>
    <w:bookmarkStart w:id="79" w:name="ref-flutre_genome-wide_2022"/>
    <w:p>
      <w:pPr>
        <w:pStyle w:val="Bibliography"/>
      </w:pPr>
      <w:r>
        <w:t xml:space="preserve">Flutre, T., L. Le Cunff, A. Fodor, A. Launay, C. Romieu</w:t>
      </w:r>
      <w:r>
        <w:t xml:space="preserve"> </w:t>
      </w:r>
      <w:r>
        <w:rPr>
          <w:iCs/>
          <w:i/>
        </w:rPr>
        <w:t xml:space="preserve">et al.</w:t>
      </w:r>
      <w:r>
        <w:t xml:space="preserve">, 2022</w:t>
      </w:r>
      <w:r>
        <w:t xml:space="preserve"> </w:t>
      </w:r>
      <w:hyperlink r:id="rId78">
        <w:r>
          <w:rPr>
            <w:rStyle w:val="Hyperlink"/>
          </w:rPr>
          <w:t xml:space="preserve">A genome-wide association and prediction study in grapevine deciphers the genetic architecture of multiple traits and identifies genes under many new</w:t>
        </w:r>
        <w:r>
          <w:rPr>
            <w:rStyle w:val="Hyperlink"/>
          </w:rPr>
          <w:t xml:space="preserve"> </w:t>
        </w:r>
        <w:r>
          <w:rPr>
            <w:rStyle w:val="Hyperlink"/>
          </w:rPr>
          <w:t xml:space="preserve">QTLs</w:t>
        </w:r>
      </w:hyperlink>
      <w:r>
        <w:t xml:space="preserve"> </w:t>
      </w:r>
      <w:r>
        <w:t xml:space="preserve">(A. Paterson, Ed.). G3 Genes</w:t>
      </w:r>
      <w:r>
        <w:t xml:space="preserve">Genomes</w:t>
      </w:r>
      <w:r>
        <w:t xml:space="preserve">Genetics 12: jkac103.</w:t>
      </w:r>
    </w:p>
    <w:bookmarkEnd w:id="79"/>
    <w:bookmarkStart w:id="81" w:name="ref-gilmour_accounting_1997"/>
    <w:p>
      <w:pPr>
        <w:pStyle w:val="Bibliography"/>
      </w:pPr>
      <w:r>
        <w:t xml:space="preserve">Gilmour, A. R., B. R. Cullis, A. P. Verbyla, and A. P. Verbyla, 1997</w:t>
      </w:r>
      <w:r>
        <w:t xml:space="preserve"> </w:t>
      </w:r>
      <w:hyperlink r:id="rId80">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1"/>
    <w:bookmarkStart w:id="83" w:name="ref-jung_genetic_2022"/>
    <w:p>
      <w:pPr>
        <w:pStyle w:val="Bibliography"/>
      </w:pPr>
      <w:r>
        <w:t xml:space="preserve">Jung, M., B. Keller, M. Roth, M. J. Aranzana, A. Auwerkerken</w:t>
      </w:r>
      <w:r>
        <w:t xml:space="preserve"> </w:t>
      </w:r>
      <w:r>
        <w:rPr>
          <w:iCs/>
          <w:i/>
        </w:rPr>
        <w:t xml:space="preserve">et al.</w:t>
      </w:r>
      <w:r>
        <w:t xml:space="preserve">, 2022</w:t>
      </w:r>
      <w:r>
        <w:t xml:space="preserve"> </w:t>
      </w:r>
      <w:hyperlink r:id="rId82">
        <w:r>
          <w:rPr>
            <w:rStyle w:val="Hyperlink"/>
          </w:rPr>
          <w:t xml:space="preserve">Genetic architecture and genomic predictive ability of apple quantitative traits across environments</w:t>
        </w:r>
      </w:hyperlink>
      <w:r>
        <w:t xml:space="preserve">. Horticulture Research 9: uhac028.</w:t>
      </w:r>
    </w:p>
    <w:bookmarkEnd w:id="83"/>
    <w:bookmarkStart w:id="85" w:name="ref-liu_pyrenophora_2011"/>
    <w:p>
      <w:pPr>
        <w:pStyle w:val="Bibliography"/>
      </w:pPr>
      <w:r>
        <w:t xml:space="preserve">Liu, Z., S. R. Ellwood, R. P. Oliver, and T. L. Friesen, 2011</w:t>
      </w:r>
      <w:r>
        <w:t xml:space="preserve"> </w:t>
      </w:r>
      <w:hyperlink r:id="rId84">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85"/>
    <w:bookmarkStart w:id="8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86">
        <w:r>
          <w:rPr>
            <w:rStyle w:val="Hyperlink"/>
          </w:rPr>
          <w:t xml:space="preserve">Long-read sequence assembly: A technical evaluation in barley</w:t>
        </w:r>
      </w:hyperlink>
      <w:r>
        <w:t xml:space="preserve">. The Plant Cell 33: 1888–1906.</w:t>
      </w:r>
    </w:p>
    <w:bookmarkEnd w:id="87"/>
    <w:bookmarkStart w:id="89" w:name="ref-mcfarland_maize_2020"/>
    <w:p>
      <w:pPr>
        <w:pStyle w:val="Bibliography"/>
      </w:pPr>
      <w:r>
        <w:t xml:space="preserve">McFarland, B. A., N. AlKhalifah, M. Bohn, J. Bubert, E. S. Buckler</w:t>
      </w:r>
      <w:r>
        <w:t xml:space="preserve"> </w:t>
      </w:r>
      <w:r>
        <w:rPr>
          <w:iCs/>
          <w:i/>
        </w:rPr>
        <w:t xml:space="preserve">et al.</w:t>
      </w:r>
      <w:r>
        <w:t xml:space="preserve">, 2020</w:t>
      </w:r>
      <w:r>
        <w:t xml:space="preserve"> </w:t>
      </w:r>
      <w:hyperlink r:id="rId88">
        <w:r>
          <w:rPr>
            <w:rStyle w:val="Hyperlink"/>
          </w:rPr>
          <w:t xml:space="preserve">Maize genomes to fields (</w:t>
        </w:r>
        <w:r>
          <w:rPr>
            <w:rStyle w:val="Hyperlink"/>
          </w:rPr>
          <w:t xml:space="preserve">G2F</w:t>
        </w:r>
        <w:r>
          <w:rPr>
            <w:rStyle w:val="Hyperlink"/>
          </w:rPr>
          <w:t xml:space="preserve">): 2014–2017 field seasons: Genotype, phenotype, climatic, soil, and inbred ear image datasets</w:t>
        </w:r>
      </w:hyperlink>
      <w:r>
        <w:t xml:space="preserve">. BMC Research Notes 13: 71.</w:t>
      </w:r>
    </w:p>
    <w:bookmarkEnd w:id="89"/>
    <w:bookmarkStart w:id="91"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0">
        <w:r>
          <w:rPr>
            <w:rStyle w:val="Hyperlink"/>
          </w:rPr>
          <w:t xml:space="preserve">From cultivar mixtures to allelic mixtures: Opposite effects of allelic richness between genotypes and genotype richness in wheat</w:t>
        </w:r>
      </w:hyperlink>
      <w:r>
        <w:t xml:space="preserve">. New Phytologist 233: 2573–2584.</w:t>
      </w:r>
    </w:p>
    <w:bookmarkEnd w:id="91"/>
    <w:bookmarkStart w:id="93" w:name="ref-montazeaud_indirect_2023"/>
    <w:p>
      <w:pPr>
        <w:pStyle w:val="Bibliography"/>
      </w:pPr>
      <w:r>
        <w:t xml:space="preserve">Montazeaud, G., Q. Helleu, S. E. Wuest, and L. Keller, 2023</w:t>
      </w:r>
      <w:r>
        <w:t xml:space="preserve"> </w:t>
      </w:r>
      <w:hyperlink r:id="rId92">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93"/>
    <w:bookmarkStart w:id="95" w:name="ref-mundt_use_2002"/>
    <w:p>
      <w:pPr>
        <w:pStyle w:val="Bibliography"/>
      </w:pPr>
      <w:r>
        <w:t xml:space="preserve">Mundt, C. C., 2002</w:t>
      </w:r>
      <w:r>
        <w:t xml:space="preserve"> </w:t>
      </w:r>
      <w:hyperlink r:id="rId94">
        <w:r>
          <w:rPr>
            <w:rStyle w:val="Hyperlink"/>
          </w:rPr>
          <w:t xml:space="preserve">Use of multiline cultivars and cultivar mixtures for disease management.</w:t>
        </w:r>
      </w:hyperlink>
      <w:r>
        <w:t xml:space="preserve"> Annual Review of Phytopathology 40: 381–410.</w:t>
      </w:r>
    </w:p>
    <w:bookmarkEnd w:id="95"/>
    <w:bookmarkStart w:id="97"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96">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97"/>
    <w:bookmarkStart w:id="99" w:name="ref-oakey_joint_2006"/>
    <w:p>
      <w:pPr>
        <w:pStyle w:val="Bibliography"/>
      </w:pPr>
      <w:r>
        <w:t xml:space="preserve">Oakey, H., A. Verbyla, W. Pitchford, B. Cullis, and H. Kuchel, 2006</w:t>
      </w:r>
      <w:r>
        <w:t xml:space="preserve"> </w:t>
      </w:r>
      <w:hyperlink r:id="rId98">
        <w:r>
          <w:rPr>
            <w:rStyle w:val="Hyperlink"/>
          </w:rPr>
          <w:t xml:space="preserve">Joint modeling of additive and non-additive genetic line effects in single field trials</w:t>
        </w:r>
      </w:hyperlink>
      <w:r>
        <w:t xml:space="preserve">. Theoretical and Applied Genetics 113: 809–819.</w:t>
      </w:r>
    </w:p>
    <w:bookmarkEnd w:id="99"/>
    <w:bookmarkStart w:id="101" w:name="ref-pelissier_genetic_2023"/>
    <w:p>
      <w:pPr>
        <w:pStyle w:val="Bibliography"/>
      </w:pPr>
      <w:r>
        <w:t xml:space="preserve">Pélissier, R., E. Ballini, C. Temple, A. Ducasse, M. Colombo</w:t>
      </w:r>
      <w:r>
        <w:t xml:space="preserve"> </w:t>
      </w:r>
      <w:r>
        <w:rPr>
          <w:iCs/>
          <w:i/>
        </w:rPr>
        <w:t xml:space="preserve">et al.</w:t>
      </w:r>
      <w:r>
        <w:t xml:space="preserve">, 2023</w:t>
      </w:r>
      <w:r>
        <w:t xml:space="preserve"> </w:t>
      </w:r>
      <w:hyperlink r:id="rId100">
        <w:r>
          <w:rPr>
            <w:rStyle w:val="Hyperlink"/>
          </w:rPr>
          <w:t xml:space="preserve">The genetic identity of neighboring plants in intraspecific mixtures modulates disease susceptibility of both wheat and rice</w:t>
        </w:r>
      </w:hyperlink>
      <w:r>
        <w:t xml:space="preserve"> </w:t>
      </w:r>
      <w:r>
        <w:t xml:space="preserve">(C. H. Haney, Ed.). PLOS Biology 21: e3002287.</w:t>
      </w:r>
    </w:p>
    <w:bookmarkEnd w:id="101"/>
    <w:bookmarkStart w:id="103" w:name="ref-Rgaston"/>
    <w:p>
      <w:pPr>
        <w:pStyle w:val="Bibliography"/>
      </w:pPr>
      <w:r>
        <w:t xml:space="preserve">Perdry, H., and C. Dandine-Roulland, 2022</w:t>
      </w:r>
      <w:r>
        <w:t xml:space="preserve"> </w:t>
      </w:r>
      <w:hyperlink r:id="rId102">
        <w:r>
          <w:rPr>
            <w:rStyle w:val="Hyperlink"/>
            <w:iCs/>
            <w:i/>
          </w:rPr>
          <w:t xml:space="preserve">Gaston: Genetic data handling (QC, GRM, LD, PCA) &amp; linear mixed models</w:t>
        </w:r>
      </w:hyperlink>
      <w:r>
        <w:t xml:space="preserve">.</w:t>
      </w:r>
    </w:p>
    <w:bookmarkEnd w:id="103"/>
    <w:bookmarkStart w:id="105" w:name="ref-Rcite"/>
    <w:p>
      <w:pPr>
        <w:pStyle w:val="Bibliography"/>
      </w:pPr>
      <w:r>
        <w:t xml:space="preserve">R Core Team, 2023</w:t>
      </w:r>
      <w:r>
        <w:t xml:space="preserve"> </w:t>
      </w:r>
      <w:hyperlink r:id="rId104">
        <w:r>
          <w:rPr>
            <w:rStyle w:val="Hyperlink"/>
            <w:iCs/>
            <w:i/>
          </w:rPr>
          <w:t xml:space="preserve">R: A language and environment for statistical computing</w:t>
        </w:r>
      </w:hyperlink>
      <w:r>
        <w:t xml:space="preserve">. R Foundation for Statistical Computing, Vienna, Austria.</w:t>
      </w:r>
    </w:p>
    <w:bookmarkEnd w:id="105"/>
    <w:bookmarkStart w:id="107" w:name="ref-richards_association_2017"/>
    <w:p>
      <w:pPr>
        <w:pStyle w:val="Bibliography"/>
      </w:pPr>
      <w:r>
        <w:t xml:space="preserve">Richards, J. K., T. L. Friesen, and R. S. Brueggeman, 2017</w:t>
      </w:r>
      <w:r>
        <w:t xml:space="preserve"> </w:t>
      </w:r>
      <w:hyperlink r:id="rId106">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07"/>
    <w:bookmarkStart w:id="109"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08">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09"/>
    <w:bookmarkStart w:id="111" w:name="ref-rodriguez-alvarez_correcting_2018"/>
    <w:p>
      <w:pPr>
        <w:pStyle w:val="Bibliography"/>
      </w:pPr>
      <w:r>
        <w:t xml:space="preserve">Rodríguez-Álvarez, M. X., M. P. Boer, F. A. van Eeuwijk, and P. H. C. Eilers, 2018</w:t>
      </w:r>
      <w:r>
        <w:t xml:space="preserve"> </w:t>
      </w:r>
      <w:hyperlink r:id="rId110">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1"/>
    <w:bookmarkStart w:id="113" w:name="ref-rodriguez-alvarez_fast_2015"/>
    <w:p>
      <w:pPr>
        <w:pStyle w:val="Bibliography"/>
      </w:pPr>
      <w:r>
        <w:t xml:space="preserve">Rodríguez-Álvarez, M. X., D.-J. Lee, T. Kneib, M. Durbán, and P. Eilers, 2015</w:t>
      </w:r>
      <w:r>
        <w:t xml:space="preserve"> </w:t>
      </w:r>
      <w:hyperlink r:id="rId112">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13"/>
    <w:bookmarkStart w:id="11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14">
        <w:r>
          <w:rPr>
            <w:rStyle w:val="Hyperlink"/>
          </w:rPr>
          <w:t xml:space="preserve">Reducing herbivory in mixed planting by genomic prediction of neighbor effects in the field</w:t>
        </w:r>
      </w:hyperlink>
      <w:r>
        <w:t xml:space="preserve">. Nature Communications 15: 8467.</w:t>
      </w:r>
    </w:p>
    <w:bookmarkEnd w:id="115"/>
    <w:bookmarkStart w:id="117" w:name="ref-sato_genetics_2024"/>
    <w:p>
      <w:pPr>
        <w:pStyle w:val="Bibliography"/>
      </w:pPr>
      <w:r>
        <w:t xml:space="preserve">Sato, Y., and S. E. Wuest, 2024</w:t>
      </w:r>
      <w:r>
        <w:t xml:space="preserve"> </w:t>
      </w:r>
      <w:hyperlink r:id="rId116">
        <w:r>
          <w:rPr>
            <w:rStyle w:val="Hyperlink"/>
          </w:rPr>
          <w:t xml:space="preserve">The genetics of plant-plant interactions and their cascading effects on agroecosystem – from model plants to application</w:t>
        </w:r>
      </w:hyperlink>
      <w:r>
        <w:t xml:space="preserve">. Plant And Cell Physiology pcae092.</w:t>
      </w:r>
    </w:p>
    <w:bookmarkEnd w:id="117"/>
    <w:bookmarkStart w:id="119" w:name="ref-sato_neighbor_2021"/>
    <w:p>
      <w:pPr>
        <w:pStyle w:val="Bibliography"/>
      </w:pPr>
      <w:r>
        <w:t xml:space="preserve">Sato, Y., E. Yamamoto, K. K. Shimizu, and A. J. Nagano, 2021</w:t>
      </w:r>
      <w:r>
        <w:t xml:space="preserve"> </w:t>
      </w:r>
      <w:hyperlink r:id="rId118">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19"/>
    <w:bookmarkStart w:id="121" w:name="ref-silva_genetic_2013"/>
    <w:p>
      <w:pPr>
        <w:pStyle w:val="Bibliography"/>
      </w:pPr>
      <w:r>
        <w:t xml:space="preserve">Silva, J. C. E., B. M. Potts, P. Bijma, R. J. Kerr, and D. J. Pilbeam, 2013</w:t>
      </w:r>
      <w:r>
        <w:t xml:space="preserve"> </w:t>
      </w:r>
      <w:hyperlink r:id="rId120">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21"/>
    <w:bookmarkStart w:id="123" w:name="ref-tamang_association_2015"/>
    <w:p>
      <w:pPr>
        <w:pStyle w:val="Bibliography"/>
      </w:pPr>
      <w:r>
        <w:t xml:space="preserve">Tamang, P., A. Neupane, S. Mamidi, T. Friesen, and R. Brueggeman, 2015</w:t>
      </w:r>
      <w:r>
        <w:t xml:space="preserve"> </w:t>
      </w:r>
      <w:hyperlink r:id="rId122">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23"/>
    <w:bookmarkStart w:id="125" w:name="ref-tamura_intraspecific_2020"/>
    <w:p>
      <w:pPr>
        <w:pStyle w:val="Bibliography"/>
      </w:pPr>
      <w:r>
        <w:t xml:space="preserve">Tamura, M., T. Ohgushi, and T. Y. Ida, 2020</w:t>
      </w:r>
      <w:r>
        <w:t xml:space="preserve"> </w:t>
      </w:r>
      <w:hyperlink r:id="rId124">
        <w:r>
          <w:rPr>
            <w:rStyle w:val="Hyperlink"/>
          </w:rPr>
          <w:t xml:space="preserve">Intraspecific neighbourhood effect:</w:t>
        </w:r>
        <w:r>
          <w:rPr>
            <w:rStyle w:val="Hyperlink"/>
          </w:rPr>
          <w:t xml:space="preserve"> </w:t>
        </w:r>
        <w:r>
          <w:rPr>
            <w:rStyle w:val="Hyperlink"/>
          </w:rPr>
          <w:t xml:space="preserve">Population</w:t>
        </w:r>
        <w:r>
          <w:rPr>
            <w:rStyle w:val="Hyperlink"/>
          </w:rPr>
          <w:t xml:space="preserve">‐level consequence of aggregation of highly defended plants</w:t>
        </w:r>
      </w:hyperlink>
      <w:r>
        <w:t xml:space="preserve"> </w:t>
      </w:r>
      <w:r>
        <w:t xml:space="preserve">(J. Koricheva, Ed.). Functional Ecology 34: 597–605.</w:t>
      </w:r>
    </w:p>
    <w:bookmarkEnd w:id="125"/>
    <w:bookmarkStart w:id="127"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26">
        <w:r>
          <w:rPr>
            <w:rStyle w:val="Hyperlink"/>
          </w:rPr>
          <w:t xml:space="preserve">Plant size, latitude, and phylogeny explain within-population variability in herbivory</w:t>
        </w:r>
      </w:hyperlink>
      <w:r>
        <w:t xml:space="preserve">. Science 382: 679–683.</w:t>
      </w:r>
    </w:p>
    <w:bookmarkEnd w:id="127"/>
    <w:bookmarkStart w:id="129" w:name="ref-tibbs_cortes_status_2021"/>
    <w:p>
      <w:pPr>
        <w:pStyle w:val="Bibliography"/>
      </w:pPr>
      <w:r>
        <w:t xml:space="preserve">Tibbs Cortes, L., Z. Zhang, and J. Yu, 2021</w:t>
      </w:r>
      <w:r>
        <w:t xml:space="preserve"> </w:t>
      </w:r>
      <w:hyperlink r:id="rId128">
        <w:r>
          <w:rPr>
            <w:rStyle w:val="Hyperlink"/>
          </w:rPr>
          <w:t xml:space="preserve">Status and prospects of genome‐wide association studies in plants</w:t>
        </w:r>
      </w:hyperlink>
      <w:r>
        <w:t xml:space="preserve">. The Plant Genome 14:</w:t>
      </w:r>
    </w:p>
    <w:bookmarkEnd w:id="129"/>
    <w:bookmarkStart w:id="131" w:name="ref-tooker_genotypically_2012"/>
    <w:p>
      <w:pPr>
        <w:pStyle w:val="Bibliography"/>
      </w:pPr>
      <w:r>
        <w:t xml:space="preserve">Tooker, J. F., and S. D. Frank, 2012</w:t>
      </w:r>
      <w:r>
        <w:t xml:space="preserve"> </w:t>
      </w:r>
      <w:hyperlink r:id="rId130">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31"/>
    <w:bookmarkStart w:id="133" w:name="ref-utsumi_plant_2011-1"/>
    <w:p>
      <w:pPr>
        <w:pStyle w:val="Bibliography"/>
      </w:pPr>
      <w:r>
        <w:t xml:space="preserve">Utsumi, S., Y. Ando, T. P. Craig, and T. Ohgushi, 2011</w:t>
      </w:r>
      <w:r>
        <w:t xml:space="preserve"> </w:t>
      </w:r>
      <w:hyperlink r:id="rId132">
        <w:r>
          <w:rPr>
            <w:rStyle w:val="Hyperlink"/>
          </w:rPr>
          <w:t xml:space="preserve">Plant genotypic diversity increases population size of a herbivorous insect</w:t>
        </w:r>
      </w:hyperlink>
      <w:r>
        <w:t xml:space="preserve">. Proceedings of the Royal Society B: Biological Sciences 278: 3108–3115.</w:t>
      </w:r>
    </w:p>
    <w:bookmarkEnd w:id="133"/>
    <w:bookmarkStart w:id="135" w:name="ref-wuest_ecological_2021"/>
    <w:p>
      <w:pPr>
        <w:pStyle w:val="Bibliography"/>
      </w:pPr>
      <w:r>
        <w:t xml:space="preserve">Wuest, S. E., R. Peter, and P. A. Niklaus, 2021</w:t>
      </w:r>
      <w:r>
        <w:t xml:space="preserve"> </w:t>
      </w:r>
      <w:hyperlink r:id="rId134">
        <w:r>
          <w:rPr>
            <w:rStyle w:val="Hyperlink"/>
          </w:rPr>
          <w:t xml:space="preserve">Ecological and evolutionary approaches to improving crop variety mixtures</w:t>
        </w:r>
      </w:hyperlink>
      <w:r>
        <w:t xml:space="preserve">. Nature Ecology &amp; Evolution 5: 1068–1077.</w:t>
      </w:r>
    </w:p>
    <w:bookmarkEnd w:id="135"/>
    <w:bookmarkStart w:id="137"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36">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37"/>
    <w:bookmarkStart w:id="139" w:name="ref-zhan_resistance_2008"/>
    <w:p>
      <w:pPr>
        <w:pStyle w:val="Bibliography"/>
      </w:pPr>
      <w:r>
        <w:t xml:space="preserve">Zhan, J., B. D. L. Fitt, H. O. Pinnschmidt, S. J. P. Oxley, and A. C. Newton, 2008</w:t>
      </w:r>
      <w:r>
        <w:t xml:space="preserve"> </w:t>
      </w:r>
      <w:hyperlink r:id="rId138">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39"/>
    <w:bookmarkEnd w:id="140"/>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52" Target="media/rId52.pdf" /><Relationship Type="http://schemas.openxmlformats.org/officeDocument/2006/relationships/image" Id="rId57" Target="media/rId57.pdf" /><Relationship Type="http://schemas.openxmlformats.org/officeDocument/2006/relationships/hyperlink" Id="rId61" Target="http://52.64.175.84:8080/gigwa/?module=caigebarley&amp;project=Barley_genotypic_data" TargetMode="External" /><Relationship Type="http://schemas.openxmlformats.org/officeDocument/2006/relationships/hyperlink" Id="rId102" Target="https://CRAN.R-project.org/package=gaston" TargetMode="External" /><Relationship Type="http://schemas.openxmlformats.org/officeDocument/2006/relationships/hyperlink" Id="rId74" Target="https://doi.org/10.1002/eap.1807" TargetMode="External" /><Relationship Type="http://schemas.openxmlformats.org/officeDocument/2006/relationships/hyperlink" Id="rId128" Target="https://doi.org/10.1002/tpg2.20077" TargetMode="External" /><Relationship Type="http://schemas.openxmlformats.org/officeDocument/2006/relationships/hyperlink" Id="rId98" Target="https://doi.org/10.1007/s00122-006-0333-z" TargetMode="External" /><Relationship Type="http://schemas.openxmlformats.org/officeDocument/2006/relationships/hyperlink" Id="rId106" Target="https://doi.org/10.1007/s00122-017-2860-1" TargetMode="External" /><Relationship Type="http://schemas.openxmlformats.org/officeDocument/2006/relationships/hyperlink" Id="rId96" Target="https://doi.org/10.1007/s00122-019-03378-1" TargetMode="External" /><Relationship Type="http://schemas.openxmlformats.org/officeDocument/2006/relationships/hyperlink" Id="rId112" Target="https://doi.org/10.1007/s11222-014-9464-2" TargetMode="External" /><Relationship Type="http://schemas.openxmlformats.org/officeDocument/2006/relationships/hyperlink" Id="rId70" Target="https://doi.org/10.1007/s11295-012-0521-8" TargetMode="External" /><Relationship Type="http://schemas.openxmlformats.org/officeDocument/2006/relationships/hyperlink" Id="rId110" Target="https://doi.org/10.1016/j.spasta.2017.10.003" TargetMode="External" /><Relationship Type="http://schemas.openxmlformats.org/officeDocument/2006/relationships/hyperlink" Id="rId72" Target="https://doi.org/10.1038/hdy.2017.25" TargetMode="External" /><Relationship Type="http://schemas.openxmlformats.org/officeDocument/2006/relationships/hyperlink" Id="rId118" Target="https://doi.org/10.1038/s41437-020-00401-w" TargetMode="External" /><Relationship Type="http://schemas.openxmlformats.org/officeDocument/2006/relationships/hyperlink" Id="rId114" Target="https://doi.org/10.1038/s41467-024-52374-7" TargetMode="External" /><Relationship Type="http://schemas.openxmlformats.org/officeDocument/2006/relationships/hyperlink" Id="rId76" Target="https://doi.org/10.1038/s41559-017-0423-0" TargetMode="External" /><Relationship Type="http://schemas.openxmlformats.org/officeDocument/2006/relationships/hyperlink" Id="rId134" Target="https://doi.org/10.1038/s41559-021-01497-x" TargetMode="External" /><Relationship Type="http://schemas.openxmlformats.org/officeDocument/2006/relationships/hyperlink" Id="rId92" Target="https://doi.org/10.1038/s41559-023-02189-4" TargetMode="External" /><Relationship Type="http://schemas.openxmlformats.org/officeDocument/2006/relationships/hyperlink" Id="rId78" Target="https://doi.org/10.1093/g3journal/jkac103" TargetMode="External" /><Relationship Type="http://schemas.openxmlformats.org/officeDocument/2006/relationships/hyperlink" Id="rId82" Target="https://doi.org/10.1093/hr/uhac028" TargetMode="External" /><Relationship Type="http://schemas.openxmlformats.org/officeDocument/2006/relationships/hyperlink" Id="rId116" Target="https://doi.org/10.1093/pcp/pcae092" TargetMode="External" /><Relationship Type="http://schemas.openxmlformats.org/officeDocument/2006/relationships/hyperlink" Id="rId86" Target="https://doi.org/10.1093/plcell/koab077" TargetMode="External" /><Relationship Type="http://schemas.openxmlformats.org/officeDocument/2006/relationships/hyperlink" Id="rId68" Target="https://doi.org/10.1093/sysbio/syz020" TargetMode="External" /><Relationship Type="http://schemas.openxmlformats.org/officeDocument/2006/relationships/hyperlink" Id="rId122" Target="https://doi.org/10.1094/PHYTO-04-14-0106-R" TargetMode="External" /><Relationship Type="http://schemas.openxmlformats.org/officeDocument/2006/relationships/hyperlink" Id="rId66" Target="https://doi.org/10.1094/PHYTO-96-1214" TargetMode="External" /><Relationship Type="http://schemas.openxmlformats.org/officeDocument/2006/relationships/hyperlink" Id="rId136" Target="https://doi.org/10.1098/rsos.230399" TargetMode="External" /><Relationship Type="http://schemas.openxmlformats.org/officeDocument/2006/relationships/hyperlink" Id="rId132" Target="https://doi.org/10.1098/rspb.2011.0239" TargetMode="External" /><Relationship Type="http://schemas.openxmlformats.org/officeDocument/2006/relationships/hyperlink" Id="rId124" Target="https://doi.org/10.1111/1365-2435.13515" TargetMode="External" /><Relationship Type="http://schemas.openxmlformats.org/officeDocument/2006/relationships/hyperlink" Id="rId84" Target="https://doi.org/10.1111/j.1364-3703.2010.00649.x" TargetMode="External" /><Relationship Type="http://schemas.openxmlformats.org/officeDocument/2006/relationships/hyperlink" Id="rId130" Target="https://doi.org/10.1111/j.1365-2664.2012.02173.x" TargetMode="External" /><Relationship Type="http://schemas.openxmlformats.org/officeDocument/2006/relationships/hyperlink" Id="rId138" Target="https://doi.org/10.1111/j.1365-3059.2007.01691.x" TargetMode="External" /><Relationship Type="http://schemas.openxmlformats.org/officeDocument/2006/relationships/hyperlink" Id="rId120" Target="https://doi.org/10.1111/nph.12035" TargetMode="External" /><Relationship Type="http://schemas.openxmlformats.org/officeDocument/2006/relationships/hyperlink" Id="rId90" Target="https://doi.org/10.1111/nph.17915" TargetMode="External" /><Relationship Type="http://schemas.openxmlformats.org/officeDocument/2006/relationships/hyperlink" Id="rId126" Target="https://doi.org/10.1126/science.adh8830" TargetMode="External" /><Relationship Type="http://schemas.openxmlformats.org/officeDocument/2006/relationships/hyperlink" Id="rId94" Target="https://doi.org/10.1146/annurev.phyto.40.011402.113723" TargetMode="External" /><Relationship Type="http://schemas.openxmlformats.org/officeDocument/2006/relationships/hyperlink" Id="rId88" Target="https://doi.org/10.1186/s13104-020-4922-8" TargetMode="External" /><Relationship Type="http://schemas.openxmlformats.org/officeDocument/2006/relationships/hyperlink" Id="rId100" Target="https://doi.org/10.1371/journal.pbio.3002287" TargetMode="External" /><Relationship Type="http://schemas.openxmlformats.org/officeDocument/2006/relationships/hyperlink" Id="rId108" Target="https://doi.org/10.1371/journal.pone.0103225" TargetMode="External" /><Relationship Type="http://schemas.openxmlformats.org/officeDocument/2006/relationships/hyperlink" Id="rId80"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33" Target="https://doi.org/xxxxxx" TargetMode="External" /><Relationship Type="http://schemas.openxmlformats.org/officeDocument/2006/relationships/hyperlink" Id="rId32"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04"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0" Target="https://www.caigeproject.org.au/germplasm-evaluation/barley/disease-screening/" TargetMode="External" /><Relationship Type="http://schemas.openxmlformats.org/officeDocument/2006/relationships/hyperlink" Id="rId62" Target="https://www.caigeproject.org.au/germplasm-evaluation/barley/disease-screening/disease-screening-2015/" TargetMode="External" /><Relationship Type="http://schemas.openxmlformats.org/officeDocument/2006/relationships/hyperlink" Id="rId63" Target="https://www.caigeproject.org.au/germplasm-evaluation/barley/disease-screening/disease-screening-2016/" TargetMode="External" /><Relationship Type="http://schemas.openxmlformats.org/officeDocument/2006/relationships/hyperlink" Id="rId64"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1" Target="http://52.64.175.84:8080/gigwa/?module=caigebarley&amp;project=Barley_genotypic_data" TargetMode="External" /><Relationship Type="http://schemas.openxmlformats.org/officeDocument/2006/relationships/hyperlink" Id="rId102" Target="https://CRAN.R-project.org/package=gaston" TargetMode="External" /><Relationship Type="http://schemas.openxmlformats.org/officeDocument/2006/relationships/hyperlink" Id="rId74" Target="https://doi.org/10.1002/eap.1807" TargetMode="External" /><Relationship Type="http://schemas.openxmlformats.org/officeDocument/2006/relationships/hyperlink" Id="rId128" Target="https://doi.org/10.1002/tpg2.20077" TargetMode="External" /><Relationship Type="http://schemas.openxmlformats.org/officeDocument/2006/relationships/hyperlink" Id="rId98" Target="https://doi.org/10.1007/s00122-006-0333-z" TargetMode="External" /><Relationship Type="http://schemas.openxmlformats.org/officeDocument/2006/relationships/hyperlink" Id="rId106" Target="https://doi.org/10.1007/s00122-017-2860-1" TargetMode="External" /><Relationship Type="http://schemas.openxmlformats.org/officeDocument/2006/relationships/hyperlink" Id="rId96" Target="https://doi.org/10.1007/s00122-019-03378-1" TargetMode="External" /><Relationship Type="http://schemas.openxmlformats.org/officeDocument/2006/relationships/hyperlink" Id="rId112" Target="https://doi.org/10.1007/s11222-014-9464-2" TargetMode="External" /><Relationship Type="http://schemas.openxmlformats.org/officeDocument/2006/relationships/hyperlink" Id="rId70" Target="https://doi.org/10.1007/s11295-012-0521-8" TargetMode="External" /><Relationship Type="http://schemas.openxmlformats.org/officeDocument/2006/relationships/hyperlink" Id="rId110" Target="https://doi.org/10.1016/j.spasta.2017.10.003" TargetMode="External" /><Relationship Type="http://schemas.openxmlformats.org/officeDocument/2006/relationships/hyperlink" Id="rId72" Target="https://doi.org/10.1038/hdy.2017.25" TargetMode="External" /><Relationship Type="http://schemas.openxmlformats.org/officeDocument/2006/relationships/hyperlink" Id="rId118" Target="https://doi.org/10.1038/s41437-020-00401-w" TargetMode="External" /><Relationship Type="http://schemas.openxmlformats.org/officeDocument/2006/relationships/hyperlink" Id="rId114" Target="https://doi.org/10.1038/s41467-024-52374-7" TargetMode="External" /><Relationship Type="http://schemas.openxmlformats.org/officeDocument/2006/relationships/hyperlink" Id="rId76" Target="https://doi.org/10.1038/s41559-017-0423-0" TargetMode="External" /><Relationship Type="http://schemas.openxmlformats.org/officeDocument/2006/relationships/hyperlink" Id="rId134" Target="https://doi.org/10.1038/s41559-021-01497-x" TargetMode="External" /><Relationship Type="http://schemas.openxmlformats.org/officeDocument/2006/relationships/hyperlink" Id="rId92" Target="https://doi.org/10.1038/s41559-023-02189-4" TargetMode="External" /><Relationship Type="http://schemas.openxmlformats.org/officeDocument/2006/relationships/hyperlink" Id="rId78" Target="https://doi.org/10.1093/g3journal/jkac103" TargetMode="External" /><Relationship Type="http://schemas.openxmlformats.org/officeDocument/2006/relationships/hyperlink" Id="rId82" Target="https://doi.org/10.1093/hr/uhac028" TargetMode="External" /><Relationship Type="http://schemas.openxmlformats.org/officeDocument/2006/relationships/hyperlink" Id="rId116" Target="https://doi.org/10.1093/pcp/pcae092" TargetMode="External" /><Relationship Type="http://schemas.openxmlformats.org/officeDocument/2006/relationships/hyperlink" Id="rId86" Target="https://doi.org/10.1093/plcell/koab077" TargetMode="External" /><Relationship Type="http://schemas.openxmlformats.org/officeDocument/2006/relationships/hyperlink" Id="rId68" Target="https://doi.org/10.1093/sysbio/syz020" TargetMode="External" /><Relationship Type="http://schemas.openxmlformats.org/officeDocument/2006/relationships/hyperlink" Id="rId122" Target="https://doi.org/10.1094/PHYTO-04-14-0106-R" TargetMode="External" /><Relationship Type="http://schemas.openxmlformats.org/officeDocument/2006/relationships/hyperlink" Id="rId66" Target="https://doi.org/10.1094/PHYTO-96-1214" TargetMode="External" /><Relationship Type="http://schemas.openxmlformats.org/officeDocument/2006/relationships/hyperlink" Id="rId136" Target="https://doi.org/10.1098/rsos.230399" TargetMode="External" /><Relationship Type="http://schemas.openxmlformats.org/officeDocument/2006/relationships/hyperlink" Id="rId132" Target="https://doi.org/10.1098/rspb.2011.0239" TargetMode="External" /><Relationship Type="http://schemas.openxmlformats.org/officeDocument/2006/relationships/hyperlink" Id="rId124" Target="https://doi.org/10.1111/1365-2435.13515" TargetMode="External" /><Relationship Type="http://schemas.openxmlformats.org/officeDocument/2006/relationships/hyperlink" Id="rId84" Target="https://doi.org/10.1111/j.1364-3703.2010.00649.x" TargetMode="External" /><Relationship Type="http://schemas.openxmlformats.org/officeDocument/2006/relationships/hyperlink" Id="rId130" Target="https://doi.org/10.1111/j.1365-2664.2012.02173.x" TargetMode="External" /><Relationship Type="http://schemas.openxmlformats.org/officeDocument/2006/relationships/hyperlink" Id="rId138" Target="https://doi.org/10.1111/j.1365-3059.2007.01691.x" TargetMode="External" /><Relationship Type="http://schemas.openxmlformats.org/officeDocument/2006/relationships/hyperlink" Id="rId120" Target="https://doi.org/10.1111/nph.12035" TargetMode="External" /><Relationship Type="http://schemas.openxmlformats.org/officeDocument/2006/relationships/hyperlink" Id="rId90" Target="https://doi.org/10.1111/nph.17915" TargetMode="External" /><Relationship Type="http://schemas.openxmlformats.org/officeDocument/2006/relationships/hyperlink" Id="rId126" Target="https://doi.org/10.1126/science.adh8830" TargetMode="External" /><Relationship Type="http://schemas.openxmlformats.org/officeDocument/2006/relationships/hyperlink" Id="rId94" Target="https://doi.org/10.1146/annurev.phyto.40.011402.113723" TargetMode="External" /><Relationship Type="http://schemas.openxmlformats.org/officeDocument/2006/relationships/hyperlink" Id="rId88" Target="https://doi.org/10.1186/s13104-020-4922-8" TargetMode="External" /><Relationship Type="http://schemas.openxmlformats.org/officeDocument/2006/relationships/hyperlink" Id="rId100" Target="https://doi.org/10.1371/journal.pbio.3002287" TargetMode="External" /><Relationship Type="http://schemas.openxmlformats.org/officeDocument/2006/relationships/hyperlink" Id="rId108" Target="https://doi.org/10.1371/journal.pone.0103225" TargetMode="External" /><Relationship Type="http://schemas.openxmlformats.org/officeDocument/2006/relationships/hyperlink" Id="rId80"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33" Target="https://doi.org/xxxxxx" TargetMode="External" /><Relationship Type="http://schemas.openxmlformats.org/officeDocument/2006/relationships/hyperlink" Id="rId32"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04"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0" Target="https://www.caigeproject.org.au/germplasm-evaluation/barley/disease-screening/" TargetMode="External" /><Relationship Type="http://schemas.openxmlformats.org/officeDocument/2006/relationships/hyperlink" Id="rId62" Target="https://www.caigeproject.org.au/germplasm-evaluation/barley/disease-screening/disease-screening-2015/" TargetMode="External" /><Relationship Type="http://schemas.openxmlformats.org/officeDocument/2006/relationships/hyperlink" Id="rId63" Target="https://www.caigeproject.org.au/germplasm-evaluation/barley/disease-screening/disease-screening-2016/" TargetMode="External" /><Relationship Type="http://schemas.openxmlformats.org/officeDocument/2006/relationships/hyperlink" Id="rId64"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2025-02-20T13:13:21Z</dcterms:created>
  <dcterms:modified xsi:type="dcterms:W3CDTF">2025-02-20T13:13:21Z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